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99" w:tblpY="2382"/>
        <w:tblOverlap w:val="never"/>
        <w:tblW w:w="7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035"/>
        <w:gridCol w:w="870"/>
        <w:gridCol w:w="1134"/>
        <w:gridCol w:w="2552"/>
        <w:gridCol w:w="855"/>
        <w:gridCol w:w="7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（处室）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职务或职称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汤宇华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刘登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博士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刘吉波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科研处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苏德国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范育青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王昌琪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李春香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矿业工程学院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吕绍文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贵州工程应用技术学院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国际合作交流处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2"/>
          <w:lang w:val="en-US" w:eastAsia="zh-CN"/>
        </w:rPr>
        <w:t>本单位参团人员名单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01"/>
    <w:rsid w:val="00CB7D24"/>
    <w:rsid w:val="00D11301"/>
    <w:rsid w:val="00D76C6A"/>
    <w:rsid w:val="1682450E"/>
    <w:rsid w:val="7D34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2019-07-18T07:26:00Z</dcterms:created>
  <dc:creator>Administrator</dc:creator>
  <cp:lastModifiedBy>杨斐然</cp:lastModifiedBy>
  <cp:lastPrinted>2019-07-19T02:33:00Z</cp:lastPrinted>
  <dcterms:modified xsi:type="dcterms:W3CDTF">2019-07-24T10:42:17Z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