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楷体_GB2312" w:eastAsia="楷体_GB2312"/>
          <w:b/>
          <w:color w:val="000000"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b/>
          <w:color w:val="000000"/>
          <w:sz w:val="32"/>
          <w:szCs w:val="32"/>
          <w:lang w:val="en-US" w:eastAsia="zh-CN"/>
        </w:rPr>
        <w:t>2017年贵州工程应用技术学院“千人留学计划”合作院校</w:t>
      </w:r>
    </w:p>
    <w:tbl>
      <w:tblPr>
        <w:tblStyle w:val="6"/>
        <w:tblW w:w="1558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5"/>
        <w:gridCol w:w="4600"/>
        <w:gridCol w:w="93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5" w:type="dxa"/>
            <w:shd w:val="clear" w:color="auto" w:fill="31849B"/>
            <w:vAlign w:val="top"/>
          </w:tcPr>
          <w:p>
            <w:pPr>
              <w:jc w:val="center"/>
              <w:rPr>
                <w:rFonts w:hint="eastAsia" w:ascii="楷体_GB2312" w:eastAsia="楷体_GB2312"/>
                <w:b/>
                <w:color w:val="FFFF00"/>
                <w:sz w:val="30"/>
                <w:szCs w:val="30"/>
              </w:rPr>
            </w:pPr>
            <w:r>
              <w:rPr>
                <w:rFonts w:hint="eastAsia" w:ascii="楷体_GB2312" w:eastAsia="楷体_GB2312"/>
                <w:b/>
                <w:color w:val="FFFF00"/>
                <w:sz w:val="30"/>
                <w:szCs w:val="30"/>
              </w:rPr>
              <w:t>地区、国别</w:t>
            </w:r>
          </w:p>
        </w:tc>
        <w:tc>
          <w:tcPr>
            <w:tcW w:w="4600" w:type="dxa"/>
            <w:shd w:val="clear" w:color="auto" w:fill="31849B"/>
            <w:vAlign w:val="top"/>
          </w:tcPr>
          <w:p>
            <w:pPr>
              <w:jc w:val="center"/>
              <w:rPr>
                <w:rFonts w:hint="eastAsia" w:ascii="楷体_GB2312" w:eastAsia="楷体_GB2312"/>
                <w:b/>
                <w:color w:val="FFFF00"/>
                <w:sz w:val="30"/>
                <w:szCs w:val="30"/>
              </w:rPr>
            </w:pPr>
            <w:r>
              <w:rPr>
                <w:rFonts w:hint="eastAsia" w:ascii="楷体_GB2312" w:eastAsia="楷体_GB2312"/>
                <w:b/>
                <w:color w:val="FFFF00"/>
                <w:sz w:val="30"/>
                <w:szCs w:val="30"/>
              </w:rPr>
              <w:t>学校</w:t>
            </w:r>
          </w:p>
        </w:tc>
        <w:tc>
          <w:tcPr>
            <w:tcW w:w="9330" w:type="dxa"/>
            <w:shd w:val="clear" w:color="auto" w:fill="31849B"/>
            <w:vAlign w:val="top"/>
          </w:tcPr>
          <w:p>
            <w:pPr>
              <w:jc w:val="center"/>
              <w:rPr>
                <w:rFonts w:hint="eastAsia" w:ascii="楷体_GB2312" w:eastAsia="楷体_GB2312"/>
                <w:b/>
                <w:color w:val="FFFF00"/>
                <w:sz w:val="30"/>
                <w:szCs w:val="30"/>
              </w:rPr>
            </w:pPr>
            <w:r>
              <w:rPr>
                <w:rFonts w:hint="eastAsia" w:ascii="楷体_GB2312" w:eastAsia="楷体_GB2312"/>
                <w:b/>
                <w:color w:val="FFFF00"/>
                <w:sz w:val="30"/>
                <w:szCs w:val="30"/>
              </w:rPr>
              <w:t>院系、专业设置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655" w:type="dxa"/>
            <w:vMerge w:val="restart"/>
            <w:vAlign w:val="top"/>
          </w:tcPr>
          <w:p>
            <w:pPr>
              <w:rPr>
                <w:rFonts w:hint="eastAsia" w:ascii="楷体_GB2312" w:eastAsia="楷体_GB2312"/>
                <w:sz w:val="30"/>
                <w:szCs w:val="30"/>
              </w:rPr>
            </w:pPr>
          </w:p>
          <w:p>
            <w:pPr>
              <w:rPr>
                <w:rFonts w:hint="eastAsia" w:ascii="楷体_GB2312" w:eastAsia="楷体_GB2312"/>
                <w:sz w:val="30"/>
                <w:szCs w:val="30"/>
              </w:rPr>
            </w:pPr>
          </w:p>
          <w:p>
            <w:pPr>
              <w:rPr>
                <w:rFonts w:hint="eastAsia" w:ascii="楷体_GB2312" w:eastAsia="楷体_GB2312"/>
                <w:sz w:val="30"/>
                <w:szCs w:val="30"/>
              </w:rPr>
            </w:pPr>
          </w:p>
          <w:p>
            <w:pPr>
              <w:rPr>
                <w:rFonts w:hint="eastAsia" w:ascii="楷体_GB2312" w:eastAsia="楷体_GB2312"/>
                <w:sz w:val="30"/>
                <w:szCs w:val="30"/>
              </w:rPr>
            </w:pPr>
          </w:p>
          <w:p>
            <w:pPr>
              <w:rPr>
                <w:rFonts w:hint="eastAsia" w:ascii="楷体_GB2312" w:eastAsia="楷体_GB2312"/>
                <w:sz w:val="30"/>
                <w:szCs w:val="30"/>
              </w:rPr>
            </w:pPr>
          </w:p>
          <w:p>
            <w:pPr>
              <w:rPr>
                <w:rFonts w:hint="eastAsia"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hAnsi="Calibri" w:eastAsia="楷体_GB2312" w:cs="Times New Roman"/>
                <w:kern w:val="2"/>
                <w:sz w:val="30"/>
                <w:szCs w:val="30"/>
                <w:lang w:val="en-US" w:eastAsia="zh-CN" w:bidi="ar-SA"/>
              </w:rPr>
              <w:pict>
                <v:shape id="图片 19" o:spid="_x0000_s1026" o:spt="75" type="#_x0000_t75" style="position:absolute;left:0pt;margin-left:8.3pt;margin-top:16.25pt;height:35.7pt;width:59.45pt;z-index:251660288;mso-width-relative:page;mso-height-relative:page;" fillcolor="#FFFFFF" filled="f" o:preferrelative="t" stroked="f" coordsize="21600,21600">
                  <v:path/>
                  <v:fill on="f" color2="#FFFFFF" focussize="0,0"/>
                  <v:stroke on="f"/>
                  <v:imagedata r:id="rId4" gain="65536f" blacklevel="0f" gamma="0" o:title=""/>
                  <o:lock v:ext="edit" position="f" selection="f" grouping="f" rotation="f" cropping="f" text="f" aspectratio="t"/>
                </v:shape>
              </w:pict>
            </w:r>
          </w:p>
        </w:tc>
        <w:tc>
          <w:tcPr>
            <w:tcW w:w="4600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z w:val="28"/>
                <w:szCs w:val="30"/>
              </w:rPr>
            </w:pPr>
          </w:p>
          <w:p>
            <w:pPr>
              <w:spacing w:line="320" w:lineRule="exact"/>
              <w:jc w:val="both"/>
              <w:rPr>
                <w:rFonts w:hint="eastAsia" w:ascii="楷体_GB2312" w:eastAsia="楷体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楷体_GB2312" w:eastAsia="楷体_GB2312"/>
                <w:sz w:val="30"/>
                <w:szCs w:val="30"/>
                <w:lang w:val="en-US" w:eastAsia="zh-CN"/>
              </w:rPr>
              <w:t xml:space="preserve">    </w:t>
            </w:r>
          </w:p>
          <w:p>
            <w:pPr>
              <w:spacing w:line="320" w:lineRule="exact"/>
              <w:jc w:val="both"/>
              <w:rPr>
                <w:rFonts w:hint="eastAsia" w:ascii="楷体_GB2312" w:eastAsia="楷体_GB2312"/>
                <w:sz w:val="30"/>
                <w:szCs w:val="30"/>
                <w:lang w:eastAsia="zh-CN"/>
              </w:rPr>
            </w:pPr>
            <w:r>
              <w:rPr>
                <w:rFonts w:hint="eastAsia" w:ascii="楷体_GB2312" w:eastAsia="楷体_GB2312"/>
                <w:sz w:val="30"/>
                <w:szCs w:val="30"/>
                <w:lang w:val="en-US" w:eastAsia="zh-CN"/>
              </w:rPr>
              <w:t xml:space="preserve">      </w:t>
            </w:r>
            <w:r>
              <w:rPr>
                <w:rFonts w:hint="eastAsia" w:ascii="楷体_GB2312" w:eastAsia="楷体_GB2312"/>
                <w:sz w:val="30"/>
                <w:szCs w:val="30"/>
                <w:lang w:eastAsia="zh-CN"/>
              </w:rPr>
              <w:t>马来西亚北方大学</w:t>
            </w:r>
          </w:p>
          <w:p>
            <w:pPr>
              <w:spacing w:line="320" w:lineRule="exact"/>
              <w:jc w:val="center"/>
              <w:rPr>
                <w:rFonts w:hint="eastAsia" w:ascii="楷体_GB2312" w:eastAsia="楷体_GB2312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Universiti Utara Malaysia</w:t>
            </w:r>
          </w:p>
        </w:tc>
        <w:tc>
          <w:tcPr>
            <w:tcW w:w="9330" w:type="dxa"/>
            <w:vAlign w:val="top"/>
          </w:tcPr>
          <w:p>
            <w:pPr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信息技术、多媒体、经济学、会计学、金融、会计（信息系统）、伊斯兰金融银行学、农贸管理、旅游管理、国际贸易管理、国际事务管理、银行学、科技管理学、市场学、风险管理与保险、工商管理（物流及运输）、酒店管理、运营管理、工业统计、决策科学、商科数学、工商管理、人力资源管理、发展管理、企业管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5" w:type="dxa"/>
            <w:vMerge w:val="continue"/>
            <w:tcBorders/>
            <w:vAlign w:val="top"/>
          </w:tcPr>
          <w:p>
            <w:pPr>
              <w:rPr>
                <w:rFonts w:hint="eastAsia" w:ascii="楷体_GB2312" w:eastAsia="楷体_GB2312"/>
                <w:sz w:val="30"/>
                <w:szCs w:val="30"/>
              </w:rPr>
            </w:pPr>
          </w:p>
        </w:tc>
        <w:tc>
          <w:tcPr>
            <w:tcW w:w="4600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sz w:val="30"/>
                <w:szCs w:val="30"/>
              </w:rPr>
            </w:pPr>
          </w:p>
          <w:p>
            <w:pPr>
              <w:spacing w:line="320" w:lineRule="exact"/>
              <w:jc w:val="center"/>
              <w:rPr>
                <w:rFonts w:hint="eastAsia"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马来西亚彭亨大学</w:t>
            </w:r>
          </w:p>
          <w:p>
            <w:pPr>
              <w:spacing w:line="320" w:lineRule="exact"/>
              <w:jc w:val="center"/>
              <w:rPr>
                <w:rFonts w:hint="eastAsia" w:ascii="楷体_GB2312" w:eastAsia="楷体_GB2312"/>
                <w:sz w:val="30"/>
                <w:szCs w:val="30"/>
              </w:rPr>
            </w:pPr>
            <w:r>
              <w:rPr>
                <w:rFonts w:hint="eastAsia" w:ascii="Times New Roman" w:hAnsi="Times New Roman" w:cs="Times New Roman"/>
                <w:color w:val="000000"/>
                <w:shd w:val="clear" w:color="auto" w:fill="FFFFFF"/>
              </w:rPr>
              <w:t>Universiti Malaysia Pahang</w:t>
            </w:r>
            <w:r>
              <w:rPr>
                <w:rFonts w:hint="eastAsia" w:ascii="楷体_GB2312" w:eastAsia="楷体_GB2312"/>
                <w:sz w:val="30"/>
                <w:szCs w:val="30"/>
              </w:rPr>
              <w:tab/>
            </w:r>
          </w:p>
          <w:p>
            <w:pPr>
              <w:spacing w:line="320" w:lineRule="exact"/>
              <w:jc w:val="center"/>
              <w:rPr>
                <w:rFonts w:hint="eastAsia" w:ascii="楷体_GB2312" w:eastAsia="楷体_GB2312"/>
                <w:sz w:val="30"/>
                <w:szCs w:val="30"/>
                <w:lang w:eastAsia="zh-CN"/>
              </w:rPr>
            </w:pPr>
            <w:r>
              <w:rPr>
                <w:rFonts w:hint="eastAsia" w:ascii="楷体_GB2312" w:eastAsia="楷体_GB2312"/>
                <w:sz w:val="30"/>
                <w:szCs w:val="30"/>
                <w:lang w:eastAsia="zh-CN"/>
              </w:rPr>
              <w:t>（免学费）</w:t>
            </w:r>
          </w:p>
        </w:tc>
        <w:tc>
          <w:tcPr>
            <w:tcW w:w="9330" w:type="dxa"/>
            <w:vAlign w:val="top"/>
          </w:tcPr>
          <w:p>
            <w:pPr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子工程、电力系统、机械工程、机械制造工程、汽车机械工程、土木工程、土木工程环境、化学工程、气体技术、生物技术、软件工程、计算机系统与网络、制造工程、项目管理、工业技术管理、职业安全与健康、工业化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5" w:type="dxa"/>
            <w:vMerge w:val="continue"/>
            <w:tcBorders/>
            <w:vAlign w:val="top"/>
          </w:tcPr>
          <w:p>
            <w:pPr>
              <w:rPr>
                <w:rFonts w:hint="eastAsia" w:ascii="楷体_GB2312" w:eastAsia="楷体_GB2312"/>
                <w:sz w:val="30"/>
                <w:szCs w:val="30"/>
              </w:rPr>
            </w:pPr>
          </w:p>
        </w:tc>
        <w:tc>
          <w:tcPr>
            <w:tcW w:w="4600" w:type="dxa"/>
            <w:textDirection w:val="lrTb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z w:val="28"/>
                <w:szCs w:val="30"/>
              </w:rPr>
            </w:pPr>
          </w:p>
          <w:p>
            <w:pPr>
              <w:spacing w:line="320" w:lineRule="exact"/>
              <w:jc w:val="center"/>
              <w:rPr>
                <w:rFonts w:hint="eastAsia" w:ascii="楷体_GB2312" w:eastAsia="楷体_GB2312"/>
                <w:sz w:val="30"/>
                <w:szCs w:val="30"/>
                <w:lang w:eastAsia="zh-CN"/>
              </w:rPr>
            </w:pPr>
            <w:r>
              <w:rPr>
                <w:rFonts w:hint="eastAsia" w:ascii="楷体_GB2312" w:eastAsia="楷体_GB2312"/>
                <w:sz w:val="30"/>
                <w:szCs w:val="30"/>
                <w:lang w:eastAsia="zh-CN"/>
              </w:rPr>
              <w:t>马来西亚博特拉大学</w:t>
            </w:r>
          </w:p>
          <w:p>
            <w:pPr>
              <w:spacing w:line="320" w:lineRule="exact"/>
              <w:jc w:val="center"/>
              <w:rPr>
                <w:rFonts w:hint="eastAsia" w:ascii="楷体_GB2312" w:eastAsia="楷体_GB2312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Universiti Putra Malaysia</w:t>
            </w:r>
          </w:p>
        </w:tc>
        <w:tc>
          <w:tcPr>
            <w:tcW w:w="9330" w:type="dxa"/>
            <w:textDirection w:val="lrTb"/>
            <w:vAlign w:val="top"/>
          </w:tcPr>
          <w:p>
            <w:pPr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农学、计算机和IT、建筑及设计、经济管理、教育、工程、食品科学以及生物学、林学、人文环境、医学以及健康科学、现代语言、环境研究、社会学研究和管理、理科以及应用科学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、机械工程专业、音乐表演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5" w:type="dxa"/>
            <w:vMerge w:val="continue"/>
            <w:tcBorders/>
            <w:vAlign w:val="top"/>
          </w:tcPr>
          <w:p>
            <w:pPr>
              <w:rPr>
                <w:rFonts w:hint="eastAsia" w:ascii="楷体_GB2312" w:eastAsia="楷体_GB2312"/>
                <w:sz w:val="30"/>
                <w:szCs w:val="30"/>
              </w:rPr>
            </w:pPr>
          </w:p>
        </w:tc>
        <w:tc>
          <w:tcPr>
            <w:tcW w:w="4600" w:type="dxa"/>
            <w:textDirection w:val="lrTb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z w:val="28"/>
                <w:szCs w:val="30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z w:val="28"/>
                <w:szCs w:val="30"/>
              </w:rPr>
            </w:pPr>
          </w:p>
          <w:p>
            <w:pPr>
              <w:spacing w:line="320" w:lineRule="exact"/>
              <w:jc w:val="both"/>
              <w:rPr>
                <w:rFonts w:hint="eastAsia" w:ascii="楷体_GB2312" w:eastAsia="楷体_GB2312"/>
                <w:sz w:val="30"/>
                <w:szCs w:val="30"/>
                <w:lang w:eastAsia="zh-CN"/>
              </w:rPr>
            </w:pPr>
            <w:r>
              <w:rPr>
                <w:rFonts w:hint="eastAsia" w:ascii="楷体_GB2312" w:eastAsia="楷体_GB2312"/>
                <w:sz w:val="30"/>
                <w:szCs w:val="30"/>
                <w:lang w:val="en-US" w:eastAsia="zh-CN"/>
              </w:rPr>
              <w:t xml:space="preserve">      </w:t>
            </w:r>
            <w:r>
              <w:rPr>
                <w:rFonts w:hint="eastAsia" w:ascii="楷体_GB2312" w:eastAsia="楷体_GB2312"/>
                <w:sz w:val="30"/>
                <w:szCs w:val="30"/>
                <w:lang w:eastAsia="zh-CN"/>
              </w:rPr>
              <w:t>马来西亚沙巴大学</w:t>
            </w:r>
          </w:p>
          <w:p>
            <w:pPr>
              <w:jc w:val="center"/>
              <w:rPr>
                <w:rFonts w:hint="eastAsia" w:ascii="楷体_GB2312" w:eastAsia="楷体_GB2312"/>
                <w:sz w:val="30"/>
                <w:szCs w:val="30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Universiti Malaysia Sabah</w:t>
            </w:r>
          </w:p>
        </w:tc>
        <w:tc>
          <w:tcPr>
            <w:tcW w:w="9330" w:type="dxa"/>
            <w:textDirection w:val="lrTb"/>
            <w:vAlign w:val="top"/>
          </w:tcPr>
          <w:p>
            <w:pPr>
              <w:spacing w:line="32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食品科学及营养学、生物工艺学、生物保护学、环境科学、地质学、工业化学、植物工艺学、物理学、数学、多媒体技术、电子商务、工程与信息系统、心理学及社会服务、数学教育、科学、经济学、英语教育、运动学、社会学及人类学、传媒学、劳资关系学、国际关系学、商业与经济学、国际商务与金融系、视觉艺术、创作性写作、音乐产业、音乐教育、音乐技术、爵士乐创作、大提琴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5" w:type="dxa"/>
            <w:vMerge w:val="continue"/>
            <w:tcBorders/>
            <w:vAlign w:val="top"/>
          </w:tcPr>
          <w:p>
            <w:pPr>
              <w:rPr>
                <w:rFonts w:hint="eastAsia" w:ascii="楷体_GB2312" w:eastAsia="楷体_GB2312"/>
                <w:sz w:val="30"/>
                <w:szCs w:val="30"/>
              </w:rPr>
            </w:pPr>
          </w:p>
        </w:tc>
        <w:tc>
          <w:tcPr>
            <w:tcW w:w="4600" w:type="dxa"/>
            <w:textDirection w:val="lrTb"/>
            <w:vAlign w:val="top"/>
          </w:tcPr>
          <w:p>
            <w:pPr>
              <w:spacing w:line="320" w:lineRule="exact"/>
              <w:jc w:val="both"/>
              <w:rPr>
                <w:rFonts w:hint="eastAsia" w:ascii="楷体_GB2312" w:eastAsia="楷体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楷体_GB2312" w:eastAsia="楷体_GB2312"/>
                <w:sz w:val="30"/>
                <w:szCs w:val="30"/>
                <w:lang w:val="en-US" w:eastAsia="zh-CN"/>
              </w:rPr>
              <w:t xml:space="preserve">     </w:t>
            </w:r>
          </w:p>
          <w:p>
            <w:pPr>
              <w:spacing w:line="320" w:lineRule="exact"/>
              <w:jc w:val="both"/>
              <w:rPr>
                <w:rFonts w:hint="eastAsia" w:ascii="楷体_GB2312" w:eastAsia="楷体_GB2312"/>
                <w:sz w:val="30"/>
                <w:szCs w:val="30"/>
                <w:lang w:val="en-US" w:eastAsia="zh-CN"/>
              </w:rPr>
            </w:pPr>
          </w:p>
          <w:p>
            <w:pPr>
              <w:spacing w:line="320" w:lineRule="exact"/>
              <w:jc w:val="both"/>
              <w:rPr>
                <w:rFonts w:hint="eastAsia" w:ascii="楷体_GB2312" w:eastAsia="楷体_GB2312"/>
                <w:sz w:val="30"/>
                <w:szCs w:val="30"/>
                <w:lang w:val="en-US" w:eastAsia="zh-CN"/>
              </w:rPr>
            </w:pPr>
          </w:p>
          <w:p>
            <w:pPr>
              <w:spacing w:line="320" w:lineRule="exact"/>
              <w:jc w:val="both"/>
              <w:rPr>
                <w:rFonts w:hint="eastAsia" w:ascii="楷体_GB2312" w:eastAsia="楷体_GB2312"/>
                <w:sz w:val="30"/>
                <w:szCs w:val="30"/>
                <w:lang w:eastAsia="zh-CN"/>
              </w:rPr>
            </w:pPr>
            <w:r>
              <w:rPr>
                <w:rFonts w:hint="eastAsia" w:ascii="楷体_GB2312" w:eastAsia="楷体_GB2312"/>
                <w:sz w:val="30"/>
                <w:szCs w:val="30"/>
                <w:lang w:val="en-US" w:eastAsia="zh-CN"/>
              </w:rPr>
              <w:t xml:space="preserve">      </w:t>
            </w:r>
            <w:r>
              <w:rPr>
                <w:rFonts w:hint="eastAsia" w:ascii="楷体_GB2312" w:eastAsia="楷体_GB2312"/>
                <w:sz w:val="30"/>
                <w:szCs w:val="30"/>
                <w:lang w:eastAsia="zh-CN"/>
              </w:rPr>
              <w:t>马来西亚马来亚大学</w:t>
            </w:r>
          </w:p>
          <w:p>
            <w:pPr>
              <w:spacing w:line="320" w:lineRule="exact"/>
              <w:jc w:val="both"/>
              <w:rPr>
                <w:rFonts w:hint="default" w:ascii="Times New Roman" w:hAnsi="Times New Roman" w:cs="Times New Roman"/>
                <w:color w:val="000000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hd w:val="clear" w:color="auto" w:fill="FFFFFF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 w:cs="Times New Roman"/>
                <w:color w:val="000000"/>
                <w:shd w:val="clear" w:color="auto" w:fill="FFFFFF"/>
                <w:lang w:eastAsia="zh-CN"/>
              </w:rPr>
              <w:t>University</w:t>
            </w:r>
            <w:r>
              <w:rPr>
                <w:rFonts w:hint="default" w:ascii="Times New Roman" w:hAnsi="Times New Roman" w:cs="Times New Roman"/>
                <w:color w:val="000000"/>
                <w:shd w:val="clear" w:color="auto" w:fill="FFFFFF"/>
                <w:lang w:eastAsia="zh-CN"/>
              </w:rPr>
              <w:t> of Malaya (UM)</w:t>
            </w:r>
          </w:p>
          <w:p>
            <w:pPr>
              <w:spacing w:line="320" w:lineRule="exact"/>
              <w:jc w:val="both"/>
              <w:rPr>
                <w:rFonts w:hint="eastAsia" w:ascii="Times New Roman" w:hAnsi="Times New Roman" w:cs="Times New Roman"/>
                <w:color w:val="000000"/>
                <w:shd w:val="clear" w:color="auto" w:fill="FFFFFF"/>
                <w:lang w:eastAsia="zh-CN"/>
              </w:rPr>
            </w:pPr>
            <w:r>
              <w:rPr>
                <w:rFonts w:hint="eastAsia" w:ascii="楷体_GB2312" w:eastAsia="楷体_GB2312"/>
                <w:sz w:val="30"/>
                <w:szCs w:val="30"/>
                <w:lang w:val="en-US" w:eastAsia="zh-CN"/>
              </w:rPr>
              <w:t xml:space="preserve">          </w:t>
            </w:r>
            <w:bookmarkStart w:id="0" w:name="_GoBack"/>
            <w:bookmarkEnd w:id="0"/>
            <w:r>
              <w:rPr>
                <w:rFonts w:hint="eastAsia" w:ascii="楷体_GB2312" w:eastAsia="楷体_GB2312"/>
                <w:sz w:val="30"/>
                <w:szCs w:val="30"/>
                <w:lang w:eastAsia="zh-CN"/>
              </w:rPr>
              <w:t>（免学费）</w:t>
            </w:r>
          </w:p>
        </w:tc>
        <w:tc>
          <w:tcPr>
            <w:tcW w:w="9330" w:type="dxa"/>
            <w:textDirection w:val="lrTb"/>
            <w:vAlign w:val="top"/>
          </w:tcPr>
          <w:p>
            <w:pPr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金融与货币经济学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国际经济学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劳动力经济学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资源经济学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企业发展学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发展研究学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公共行政管理学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人力资源管理学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政治经济学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应用统计学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会计学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工商管理学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英语教育学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中文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日语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计算机网络工程体系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软件工程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信息管理体系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人工智能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信息技术管理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、多媒体、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电子通讯工程学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生物医药工程学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化学工程学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电气工程学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电脑辅助设计／辅助生产工程学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环境工程学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土木工程学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材料工程学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物理学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机械工程学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制造工程学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统计学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、数学、地质学、建筑科学、音乐学、舞蹈学、生物医学等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5" w:type="dxa"/>
            <w:vMerge w:val="restart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z w:val="28"/>
                <w:szCs w:val="30"/>
              </w:rPr>
            </w:pPr>
            <w:r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  <w:pict>
                <v:shape id="图片 4" o:spid="_x0000_s1027" o:spt="75" type="#_x0000_t75" style="position:absolute;left:0pt;margin-left:13.55pt;margin-top:57.8pt;height:37.45pt;width:56.8pt;z-index:251661312;mso-width-relative:page;mso-height-relative:page;" fillcolor="#FFFFFF" filled="f" o:preferrelative="t" stroked="f" coordsize="21600,21600">
                  <v:path/>
                  <v:fill on="f" color2="#FFFFFF" focussize="0,0"/>
                  <v:stroke on="f"/>
                  <v:imagedata r:id="rId5" gain="65536f" blacklevel="0f" gamma="0" o:title=""/>
                  <o:lock v:ext="edit" position="f" selection="f" grouping="f" rotation="f" cropping="f" text="f" aspectratio="t"/>
                </v:shape>
              </w:pict>
            </w:r>
          </w:p>
        </w:tc>
        <w:tc>
          <w:tcPr>
            <w:tcW w:w="4600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z w:val="28"/>
                <w:szCs w:val="30"/>
              </w:rPr>
            </w:pPr>
          </w:p>
          <w:p>
            <w:pPr>
              <w:spacing w:line="320" w:lineRule="exact"/>
              <w:jc w:val="both"/>
              <w:rPr>
                <w:rFonts w:hint="eastAsia" w:ascii="楷体_GB2312" w:eastAsia="楷体_GB2312"/>
                <w:sz w:val="30"/>
                <w:szCs w:val="30"/>
                <w:lang w:eastAsia="zh-CN"/>
              </w:rPr>
            </w:pPr>
            <w:r>
              <w:rPr>
                <w:rFonts w:hint="eastAsia" w:ascii="楷体_GB2312" w:eastAsia="楷体_GB2312"/>
                <w:sz w:val="30"/>
                <w:szCs w:val="30"/>
                <w:lang w:val="en-US" w:eastAsia="zh-CN"/>
              </w:rPr>
              <w:t xml:space="preserve">        台湾</w:t>
            </w:r>
            <w:r>
              <w:rPr>
                <w:rFonts w:hint="eastAsia" w:ascii="楷体_GB2312" w:eastAsia="楷体_GB2312"/>
                <w:sz w:val="30"/>
                <w:szCs w:val="30"/>
                <w:lang w:eastAsia="zh-CN"/>
              </w:rPr>
              <w:t>朝阳科技大学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Chaoyang University of Technology</w:t>
            </w:r>
          </w:p>
        </w:tc>
        <w:tc>
          <w:tcPr>
            <w:tcW w:w="9330" w:type="dxa"/>
            <w:vAlign w:val="top"/>
          </w:tcPr>
          <w:p>
            <w:pPr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财务金融系、企业管理系、保险金融管理系、会计系、休闲事业管理系、营销与流通管理系、银发产业管理系、营建工程系、工业工程与管理系、应用化学系、环境工程与管理系、建筑系(建筑组、室内设计组)、工业设计系、视觉传达设计系、景观及都市设计系、传播艺术系、应用英语系、幼儿保育系、社会工作系、信息管理系、资讯工程系、信息与通讯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1655" w:type="dxa"/>
            <w:vMerge w:val="continue"/>
            <w:vAlign w:val="top"/>
          </w:tcPr>
          <w:p>
            <w:pPr>
              <w:rPr>
                <w:rFonts w:hint="eastAsia" w:ascii="楷体_GB2312" w:eastAsia="楷体_GB2312"/>
                <w:sz w:val="30"/>
                <w:szCs w:val="30"/>
              </w:rPr>
            </w:pPr>
          </w:p>
        </w:tc>
        <w:tc>
          <w:tcPr>
            <w:tcW w:w="4600" w:type="dxa"/>
            <w:vAlign w:val="top"/>
          </w:tcPr>
          <w:p>
            <w:pPr>
              <w:spacing w:line="320" w:lineRule="exact"/>
              <w:jc w:val="both"/>
              <w:rPr>
                <w:rFonts w:hint="eastAsia" w:ascii="仿宋_GB2312" w:eastAsia="仿宋_GB2312"/>
                <w:b/>
                <w:sz w:val="28"/>
                <w:szCs w:val="30"/>
              </w:rPr>
            </w:pPr>
          </w:p>
          <w:p>
            <w:pPr>
              <w:spacing w:line="320" w:lineRule="exact"/>
              <w:jc w:val="center"/>
              <w:rPr>
                <w:rFonts w:hint="eastAsia" w:ascii="楷体_GB2312" w:eastAsia="楷体_GB2312"/>
                <w:sz w:val="30"/>
                <w:szCs w:val="30"/>
                <w:lang w:eastAsia="zh-CN"/>
              </w:rPr>
            </w:pPr>
            <w:r>
              <w:rPr>
                <w:rFonts w:hint="eastAsia" w:ascii="楷体_GB2312" w:eastAsia="楷体_GB2312"/>
                <w:sz w:val="30"/>
                <w:szCs w:val="30"/>
                <w:lang w:val="en-US" w:eastAsia="zh-CN"/>
              </w:rPr>
              <w:t>台湾</w:t>
            </w:r>
            <w:r>
              <w:rPr>
                <w:rFonts w:hint="eastAsia" w:ascii="楷体_GB2312" w:eastAsia="楷体_GB2312"/>
                <w:sz w:val="30"/>
                <w:szCs w:val="30"/>
                <w:lang w:eastAsia="zh-CN"/>
              </w:rPr>
              <w:t>建国科技大学</w:t>
            </w:r>
          </w:p>
          <w:p>
            <w:pPr>
              <w:spacing w:line="320" w:lineRule="exact"/>
              <w:jc w:val="center"/>
              <w:rPr>
                <w:rFonts w:hint="eastAsia" w:ascii="楷体_GB2312" w:eastAsia="楷体_GB2312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Chienkuo Technology University</w:t>
            </w:r>
          </w:p>
        </w:tc>
        <w:tc>
          <w:tcPr>
            <w:tcW w:w="9330" w:type="dxa"/>
            <w:vAlign w:val="top"/>
          </w:tcPr>
          <w:p>
            <w:pPr>
              <w:widowControl w:val="0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widowControl w:val="0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楷体_GB2312" w:eastAsia="楷体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自动化工程系暨机电光系统研究所、电机工程暨研究所、机械工程系暨制造科技研究所、电子工程系暨研究所、土木工程系暨土木防灾研究所、电脑与通讯工程系、资讯管理系、国际企业管理系、工业工程与管理系、商业设计系、空间设计系、数位媒体设计系、游戏与产品设计系、应用外语系、美容系、运动健康与休闲系、观光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5" w:type="dxa"/>
            <w:vMerge w:val="restart"/>
            <w:vAlign w:val="top"/>
          </w:tcPr>
          <w:p>
            <w:pPr>
              <w:rPr>
                <w:rFonts w:hint="eastAsia" w:ascii="楷体_GB2312" w:eastAsia="楷体_GB2312"/>
                <w:sz w:val="30"/>
                <w:szCs w:val="30"/>
              </w:rPr>
            </w:pPr>
            <w:r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  <w:pict>
                <v:shape id="图片 6" o:spid="_x0000_s1028" o:spt="75" type="#_x0000_t75" style="position:absolute;left:0pt;margin-left:5.3pt;margin-top:160.7pt;height:37.45pt;width:56.75pt;z-index:251662336;mso-width-relative:page;mso-height-relative:page;" fillcolor="#FFFFFF" filled="f" o:preferrelative="t" stroked="f" coordsize="21600,21600">
                  <v:path/>
                  <v:fill on="f" color2="#FFFFFF" focussize="0,0"/>
                  <v:stroke on="f"/>
                  <v:imagedata r:id="rId5" gain="65536f" blacklevel="0f" gamma="0" o:title=""/>
                  <o:lock v:ext="edit" position="f" selection="f" grouping="f" rotation="f" cropping="f" text="f" aspectratio="t"/>
                </v:shape>
              </w:pict>
            </w:r>
          </w:p>
        </w:tc>
        <w:tc>
          <w:tcPr>
            <w:tcW w:w="4600" w:type="dxa"/>
            <w:vAlign w:val="top"/>
          </w:tcPr>
          <w:p>
            <w:pPr>
              <w:spacing w:line="320" w:lineRule="exact"/>
              <w:jc w:val="both"/>
              <w:rPr>
                <w:rFonts w:hint="eastAsia" w:ascii="仿宋_GB2312" w:eastAsia="仿宋_GB2312"/>
                <w:b/>
                <w:sz w:val="28"/>
                <w:szCs w:val="30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z w:val="28"/>
                <w:szCs w:val="30"/>
              </w:rPr>
            </w:pPr>
          </w:p>
          <w:p>
            <w:pPr>
              <w:spacing w:line="320" w:lineRule="exact"/>
              <w:jc w:val="center"/>
              <w:rPr>
                <w:rFonts w:hint="eastAsia"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  <w:lang w:val="en-US" w:eastAsia="zh-CN"/>
              </w:rPr>
              <w:t>台湾</w:t>
            </w:r>
            <w:r>
              <w:rPr>
                <w:rFonts w:hint="eastAsia" w:ascii="楷体_GB2312" w:eastAsia="楷体_GB2312"/>
                <w:sz w:val="30"/>
                <w:szCs w:val="30"/>
                <w:lang w:eastAsia="zh-CN"/>
              </w:rPr>
              <w:t>明新科技大学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Minghsin University of Science and Technology</w:t>
            </w:r>
          </w:p>
        </w:tc>
        <w:tc>
          <w:tcPr>
            <w:tcW w:w="9330" w:type="dxa"/>
            <w:vAlign w:val="top"/>
          </w:tcPr>
          <w:p>
            <w:pPr>
              <w:widowControl w:val="0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楷体_GB2312" w:eastAsia="楷体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机械工程系、电机工程系、电子工程系、化学工程系、土木工程系、光电系统工程系、材料科学与工程系、通讯工程系、环境资源管理系、资讯工程系、营建工程与管理研究所、精密机电工程研究所、工业工程与管理系、资讯管理系、国际企业系、企业管理系、财务金融系、工程管理研究所、全球运筹管理中心、旅馆事业管理系、幼儿保育系、休闲事业管理系、老人服务事业管理系、应用外语系、运动管理系、人文艺术教学中心、社会科学教学中心、自然科学教学中心、语言教学中心、艺文中心、客家文化研究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5" w:type="dxa"/>
            <w:vMerge w:val="continue"/>
            <w:vAlign w:val="top"/>
          </w:tcPr>
          <w:p>
            <w:pPr>
              <w:rPr>
                <w:rFonts w:hint="eastAsia" w:ascii="楷体_GB2312" w:eastAsia="楷体_GB2312"/>
                <w:sz w:val="30"/>
                <w:szCs w:val="30"/>
              </w:rPr>
            </w:pPr>
          </w:p>
        </w:tc>
        <w:tc>
          <w:tcPr>
            <w:tcW w:w="4600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sz w:val="30"/>
                <w:szCs w:val="30"/>
                <w:lang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="楷体_GB2312" w:eastAsia="楷体_GB2312"/>
                <w:sz w:val="30"/>
                <w:szCs w:val="30"/>
                <w:lang w:eastAsia="zh-CN"/>
              </w:rPr>
            </w:pPr>
            <w:r>
              <w:rPr>
                <w:rFonts w:hint="eastAsia" w:ascii="楷体_GB2312" w:eastAsia="楷体_GB2312"/>
                <w:sz w:val="30"/>
                <w:szCs w:val="30"/>
                <w:lang w:val="en-US" w:eastAsia="zh-CN"/>
              </w:rPr>
              <w:t>台湾</w:t>
            </w:r>
            <w:r>
              <w:rPr>
                <w:rFonts w:hint="eastAsia" w:ascii="楷体_GB2312" w:eastAsia="楷体_GB2312"/>
                <w:sz w:val="30"/>
                <w:szCs w:val="30"/>
                <w:lang w:eastAsia="zh-CN"/>
              </w:rPr>
              <w:t>弘光科技大学</w:t>
            </w:r>
          </w:p>
          <w:p>
            <w:pPr>
              <w:spacing w:line="320" w:lineRule="exact"/>
              <w:jc w:val="center"/>
              <w:rPr>
                <w:rFonts w:hint="eastAsia" w:ascii="楷体_GB2312" w:eastAsia="楷体_GB2312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hd w:val="clear" w:color="auto" w:fill="FFFFFF"/>
                <w:lang w:eastAsia="zh-CN"/>
              </w:rPr>
              <w:t>Hungkuang University</w:t>
            </w:r>
          </w:p>
        </w:tc>
        <w:tc>
          <w:tcPr>
            <w:tcW w:w="9330" w:type="dxa"/>
            <w:vAlign w:val="top"/>
          </w:tcPr>
          <w:p>
            <w:pPr>
              <w:widowControl w:val="0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楷体_GB2312" w:eastAsia="楷体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应用英语系、文化创意产业系、运动休闲系、艺术中心、食品科技系、幼儿保育系、化妆品应用系、美发造型设计系、健康事业管理系、资讯管理系、餐旅管理系、环境与安全卫生工程系、资讯工程系、生物医学工程系、服务学习中心、人文精神教育发展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5" w:type="dxa"/>
            <w:vMerge w:val="continue"/>
            <w:vAlign w:val="top"/>
          </w:tcPr>
          <w:p>
            <w:pPr>
              <w:rPr>
                <w:rFonts w:hint="eastAsia" w:ascii="楷体_GB2312" w:eastAsia="楷体_GB2312"/>
                <w:sz w:val="30"/>
                <w:szCs w:val="30"/>
              </w:rPr>
            </w:pPr>
          </w:p>
        </w:tc>
        <w:tc>
          <w:tcPr>
            <w:tcW w:w="4600" w:type="dxa"/>
            <w:vAlign w:val="top"/>
          </w:tcPr>
          <w:p>
            <w:pPr>
              <w:spacing w:line="320" w:lineRule="exact"/>
              <w:jc w:val="both"/>
              <w:rPr>
                <w:rFonts w:hint="eastAsia" w:ascii="楷体_GB2312" w:eastAsia="楷体_GB2312"/>
                <w:sz w:val="30"/>
                <w:szCs w:val="30"/>
                <w:lang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="楷体_GB2312" w:eastAsia="楷体_GB2312"/>
                <w:sz w:val="30"/>
                <w:szCs w:val="30"/>
                <w:lang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="楷体_GB2312" w:eastAsia="楷体_GB2312"/>
                <w:sz w:val="30"/>
                <w:szCs w:val="30"/>
                <w:lang w:eastAsia="zh-CN"/>
              </w:rPr>
            </w:pPr>
            <w:r>
              <w:rPr>
                <w:rFonts w:hint="eastAsia" w:ascii="楷体_GB2312" w:eastAsia="楷体_GB2312"/>
                <w:sz w:val="30"/>
                <w:szCs w:val="30"/>
                <w:lang w:val="en-US" w:eastAsia="zh-CN"/>
              </w:rPr>
              <w:t>台湾</w:t>
            </w:r>
            <w:r>
              <w:rPr>
                <w:rFonts w:hint="eastAsia" w:ascii="楷体_GB2312" w:eastAsia="楷体_GB2312"/>
                <w:sz w:val="30"/>
                <w:szCs w:val="30"/>
                <w:lang w:eastAsia="zh-CN"/>
              </w:rPr>
              <w:t>环球科技大学</w:t>
            </w:r>
          </w:p>
          <w:p>
            <w:pPr>
              <w:spacing w:line="32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hd w:val="clear" w:color="auto" w:fill="FFFFFF"/>
                <w:lang w:eastAsia="zh-CN"/>
              </w:rPr>
              <w:t>TransWorld University</w:t>
            </w:r>
          </w:p>
        </w:tc>
        <w:tc>
          <w:tcPr>
            <w:tcW w:w="9330" w:type="dxa"/>
            <w:vAlign w:val="top"/>
          </w:tcPr>
          <w:p>
            <w:pPr>
              <w:widowControl w:val="0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企业管理系、资讯管理系、行销管理系、电子商务系、财务金融系、视觉传达设计系、创意商品设计系、美容造型设计系、多媒体动画设计系、观光与餐饮旅馆系、观光与生态旅游系、餐饮厨艺系、应用外语系</w:t>
            </w:r>
          </w:p>
          <w:p>
            <w:pPr>
              <w:widowControl w:val="0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、生物技术系、幼儿保育系、通识教育中心、体育教学研究中心、研究发展中心、中小企业创业管理研究发展中心、健康休闲产业研发中心、创新设计技术研发中心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5" w:type="dxa"/>
            <w:vMerge w:val="continue"/>
            <w:vAlign w:val="top"/>
          </w:tcPr>
          <w:p>
            <w:pPr>
              <w:rPr>
                <w:rFonts w:hint="eastAsia" w:ascii="楷体_GB2312" w:eastAsia="楷体_GB2312"/>
                <w:sz w:val="30"/>
                <w:szCs w:val="30"/>
              </w:rPr>
            </w:pPr>
          </w:p>
        </w:tc>
        <w:tc>
          <w:tcPr>
            <w:tcW w:w="4600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sz w:val="30"/>
                <w:szCs w:val="30"/>
                <w:lang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="楷体_GB2312" w:eastAsia="楷体_GB2312"/>
                <w:sz w:val="30"/>
                <w:szCs w:val="30"/>
                <w:lang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="楷体_GB2312" w:eastAsia="楷体_GB2312"/>
                <w:sz w:val="30"/>
                <w:szCs w:val="30"/>
                <w:lang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="楷体_GB2312" w:eastAsia="楷体_GB2312"/>
                <w:sz w:val="30"/>
                <w:szCs w:val="30"/>
                <w:lang w:eastAsia="zh-CN"/>
              </w:rPr>
            </w:pPr>
            <w:r>
              <w:rPr>
                <w:rFonts w:hint="eastAsia" w:ascii="楷体_GB2312" w:eastAsia="楷体_GB2312"/>
                <w:sz w:val="30"/>
                <w:szCs w:val="30"/>
                <w:lang w:val="en-US" w:eastAsia="zh-CN"/>
              </w:rPr>
              <w:t>台湾</w:t>
            </w:r>
            <w:r>
              <w:rPr>
                <w:rFonts w:hint="eastAsia" w:ascii="楷体_GB2312" w:eastAsia="楷体_GB2312"/>
                <w:sz w:val="30"/>
                <w:szCs w:val="30"/>
                <w:lang w:eastAsia="zh-CN"/>
              </w:rPr>
              <w:t>大叶大学</w:t>
            </w:r>
          </w:p>
          <w:p>
            <w:pPr>
              <w:spacing w:line="32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hd w:val="clear" w:color="auto" w:fill="FFFFFF"/>
                <w:lang w:eastAsia="zh-CN"/>
              </w:rPr>
              <w:t>Da-Yeh University</w:t>
            </w:r>
          </w:p>
        </w:tc>
        <w:tc>
          <w:tcPr>
            <w:tcW w:w="9330" w:type="dxa"/>
            <w:vAlign w:val="top"/>
          </w:tcPr>
          <w:p>
            <w:pPr>
              <w:widowControl w:val="0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电信工程学系、机械与自动化工程学系所、车辆工程研究所、工业工程与科技管理学系所、环境工程学系所、资讯工程学系所、材料科学与工程学系、资讯管理学系所、人力资源暨公共关系学系所、国际企业管理学系所、会计资讯学系所、休闲事业管理学系所、运动事业管理学系所、企业管理学系、事业经营研究所、教育专业发展研究所、财务管理学系、财务金融学系、行销与流通管理学系、工业设计学系、设计研究所、视觉传达设计学系、空间设计学系、造型艺术学系、英美语文学系、应用日语学系、欧洲语文学系、生物资源学系、生物产业科技学系所、分子生物科技学系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5" w:type="dxa"/>
            <w:vAlign w:val="top"/>
          </w:tcPr>
          <w:p>
            <w:pPr>
              <w:rPr>
                <w:rFonts w:hint="eastAsia" w:ascii="楷体_GB2312" w:eastAsia="楷体_GB2312"/>
                <w:sz w:val="30"/>
                <w:szCs w:val="30"/>
              </w:rPr>
            </w:pPr>
          </w:p>
        </w:tc>
        <w:tc>
          <w:tcPr>
            <w:tcW w:w="4600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sz w:val="30"/>
                <w:szCs w:val="30"/>
                <w:lang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="楷体_GB2312" w:eastAsia="楷体_GB2312"/>
                <w:sz w:val="30"/>
                <w:szCs w:val="30"/>
                <w:lang w:eastAsia="zh-CN"/>
              </w:rPr>
            </w:pPr>
            <w:r>
              <w:rPr>
                <w:rFonts w:hint="eastAsia" w:ascii="楷体_GB2312" w:eastAsia="楷体_GB2312"/>
                <w:sz w:val="30"/>
                <w:szCs w:val="30"/>
                <w:lang w:val="en-US" w:eastAsia="zh-CN"/>
              </w:rPr>
              <w:t>台湾</w:t>
            </w:r>
            <w:r>
              <w:rPr>
                <w:rFonts w:hint="eastAsia" w:ascii="楷体_GB2312" w:eastAsia="楷体_GB2312"/>
                <w:sz w:val="30"/>
                <w:szCs w:val="30"/>
                <w:lang w:eastAsia="zh-CN"/>
              </w:rPr>
              <w:t>嘉南药理大学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Chia Nan University of Pharmacy &amp; Science</w:t>
            </w:r>
          </w:p>
        </w:tc>
        <w:tc>
          <w:tcPr>
            <w:tcW w:w="9330" w:type="dxa"/>
            <w:vAlign w:val="top"/>
          </w:tcPr>
          <w:p>
            <w:pPr>
              <w:widowControl w:val="0"/>
              <w:wordWrap/>
              <w:adjustRightInd/>
              <w:snapToGrid/>
              <w:spacing w:line="32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生物科技系、医药化学系化妆品应用与管理系、食品科技系、婴幼儿保育系、保健营养系、生活应用与保健系、餐旅管理系、应用外语系、社会工作系文化事业发、展系信息管理系、信息多媒体应用系、休闲保健管理系、观光事业管理系、运动管理系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备注：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院系专业设置仅供参考，具体请参考该校官方网页。</w:t>
      </w:r>
    </w:p>
    <w:p>
      <w:pPr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2、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英语达到欧美学校要求水平的同学，可申请借助我校对口支援的高校西南大学、中国矿业大学国际交流平台赴欧美学习。</w:t>
      </w:r>
    </w:p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2733"/>
    <w:rsid w:val="00102BF4"/>
    <w:rsid w:val="001334AE"/>
    <w:rsid w:val="002F77C8"/>
    <w:rsid w:val="003A053B"/>
    <w:rsid w:val="00437E71"/>
    <w:rsid w:val="00507893"/>
    <w:rsid w:val="005D11FD"/>
    <w:rsid w:val="006B11FC"/>
    <w:rsid w:val="006F27C3"/>
    <w:rsid w:val="00710FC9"/>
    <w:rsid w:val="00777035"/>
    <w:rsid w:val="007925B7"/>
    <w:rsid w:val="00800E76"/>
    <w:rsid w:val="0088609A"/>
    <w:rsid w:val="009C59C5"/>
    <w:rsid w:val="009E0B38"/>
    <w:rsid w:val="00A92035"/>
    <w:rsid w:val="00AC08E1"/>
    <w:rsid w:val="00BC2733"/>
    <w:rsid w:val="00C217AC"/>
    <w:rsid w:val="00D11C2F"/>
    <w:rsid w:val="00DB5E8B"/>
    <w:rsid w:val="00E56EC9"/>
    <w:rsid w:val="00EF698D"/>
    <w:rsid w:val="00F11223"/>
    <w:rsid w:val="00F45404"/>
    <w:rsid w:val="00F81A66"/>
    <w:rsid w:val="00FD1EF8"/>
    <w:rsid w:val="033850D2"/>
    <w:rsid w:val="076B3B09"/>
    <w:rsid w:val="08082FB1"/>
    <w:rsid w:val="194A3D5E"/>
    <w:rsid w:val="22CC21C8"/>
    <w:rsid w:val="255E692E"/>
    <w:rsid w:val="25633CE3"/>
    <w:rsid w:val="2CD825A0"/>
    <w:rsid w:val="30277DCB"/>
    <w:rsid w:val="36943111"/>
    <w:rsid w:val="3BC946D4"/>
    <w:rsid w:val="431B5F24"/>
    <w:rsid w:val="48942A3E"/>
    <w:rsid w:val="4D55187D"/>
    <w:rsid w:val="4E4C0585"/>
    <w:rsid w:val="5C1D7F1E"/>
    <w:rsid w:val="5EAB5AB1"/>
    <w:rsid w:val="672E422E"/>
    <w:rsid w:val="72770527"/>
    <w:rsid w:val="79CA6081"/>
    <w:rsid w:val="7CA91E69"/>
    <w:rsid w:val="7D0945C8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7"/>
    <w:unhideWhenUsed/>
    <w:qFormat/>
    <w:uiPriority w:val="99"/>
    <w:rPr>
      <w:sz w:val="18"/>
      <w:szCs w:val="18"/>
    </w:rPr>
  </w:style>
  <w:style w:type="character" w:styleId="4">
    <w:name w:val="Emphasis"/>
    <w:basedOn w:val="3"/>
    <w:qFormat/>
    <w:uiPriority w:val="20"/>
    <w:rPr>
      <w:i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character" w:customStyle="1" w:styleId="7">
    <w:name w:val="批注框文本 Char"/>
    <w:basedOn w:val="3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165</Words>
  <Characters>944</Characters>
  <Lines>7</Lines>
  <Paragraphs>2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2015-03-27T03:45:00Z</dcterms:created>
  <dc:creator>yuchao</dc:creator>
  <cp:lastModifiedBy>徐梅</cp:lastModifiedBy>
  <dcterms:modified xsi:type="dcterms:W3CDTF">2017-02-20T08:51:38Z</dcterms:modified>
  <dc:title>地区、国别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